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1aba356746e34d06"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45927</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AGENCIJA ZA PLAĆANJA U POLJOPRIVREDI, RIBARSTVU I RURALNOM RAZVOJU</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11</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VI 2026.</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19.416.708,53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21.785.996,05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22.255.200,97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18.720.394,10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3.065.601,95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120.144,22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4.580.793,82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3812,7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120.144,22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4.580.793,82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3812,7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VIŠAK/MANJAK PRIMITAKA OD FINANCIJSKE IMOVINE I ZADUŽIVANJA (šifre 8-5,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X003, 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2.958.636,66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1.515.191,87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51,2</w:t>
            </w:r>
          </w:p>
        </w:tc>
      </w:tr>
    </w:tbl>
    <w:p>
      <w:pPr>
        <w:spacing w:before="0" w:after="0"/>
      </w:pPr>
    </w:p>
    <w:p>
      <w:r>
        <w:t xml:space="preserve">Ukupni prihodi iz nadležnog proračuna narasli su odnosu na isto razdoblje prošle godine za 12% prije svega zbog poskupljenja usluga i robe koje se financiraju iz njih, odnosno inflacije. Najviše su porasli prihodi iz kojih su se financirali rashodi za zaposlene, te prihodi za financiranje stručnog usavršavanja zaposlenika, sistematske preglede zaposlenika, rashodi za energiju. Iz navedenih prihoda financirani su i rashodi evidentirani u 2025.g. a nastali u prosincu 2025.g.</w:t>
      </w:r>
    </w:p>
    <w:p>
      <w:r>
        <w:t xml:space="preserve">Ukupno evidentirani rashodi poslovanja manji su cca 15% u odnosu na isto razdoblje 2025.g.  U 2025.g. u rashode su uvršteni i rashodi koji su se do tada vodili kao kontinuirani rashodi (npr. režije za 12 mjesec 2024.g.). U istom razdoblju prošle godine prikazano je 7 mjeseci (zbog kontinuiranih rashoda, a u istom razdoblju 2026.g. iskazano ih je 6, sukladno Pravilniku o proračunskom računovodstvu. Osim navedenog, od 01.01.2026.g. rashodi za nadogradnju informacijskih sustava evidentiraju se sukladno preporukama DUR-a na nematerijalnoj imovini, a do 31.12.2025. evidentirali su se kao računalne usluge. </w:t>
      </w:r>
    </w:p>
    <w:p>
      <w:r>
        <w:t xml:space="preserve">Rashodi za nabavu nefinancijske imovine financirani su iz Prihoda iz nadležnog proračuna za financiranje redovne djelatnosti, a prihodi od prodaje nefinancijske imovine nisu ostvareni. Stoga je iskazan manjak prihoda od nefinancijske imovine u iznosu od 4.580.793,82 eura i višak od prihoda poslovanja u iznosu od 3.065.601,95. Prebijanje će se izvršiti prilikom završnih knjiženja na kraju godine.</w:t>
      </w:r>
    </w:p>
    <w:p>
      <w:r>
        <w:t xml:space="preserve">Ukupan manjak prihoda iznosi 1.515.191,87 eura. Odnosi se na obveze koje dospijevaju u mjesecu srpnju 2026.g.</w:t>
      </w:r>
      <w:r>
        <w:br/>
      </w:r>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19.416.708,53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21.785.996,05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112,2</w:t>
            </w:r>
          </w:p>
        </w:tc>
      </w:tr>
    </w:tbl>
    <w:p>
      <w:pPr>
        <w:spacing w:before="0" w:after="0"/>
      </w:pPr>
    </w:p>
    <w:p>
      <w:r>
        <w:t xml:space="preserve">Ukupni prihodi iz nadležnog proračuna narasli su odnosu na isto razdoblje prošle godine za 12% prije svega zbog poskupljenja usluga i robe, odnosno inflacije. Najviše su porasli prihodi iz kojih su se financirali rashodi za zaposlene, te prihodi za financiranje stručnog usavršavanja zaposlenika, sistematske preglede zaposlenika, rashodi za energiju.</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iz inozemstva i od subjekata unutar općeg proračuna (šifre 631+632+633+634+635+636+637+638+639)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204.316,00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Prihod u iznosu od 204.316,00 eura u 2025.g. ostvaren temeljem uplate Ministarstva zaštite okoliša i zelene tranzicije kao nositelja projekta LIFE u kojem je Agencija za plaćanja u poljoprivredi jedan od partnera. Budući da se radi o sredstvima LIFE-a koje je sredstva uplatilo MZOTZT, a oni preknjižili Agenciji njezin dio, Agencija je navedena sredstva knjižila na izvor 52 u 2025.g. U 2026.g. uplata temeljem projekata EU (sada izvor 510, nije bilo).</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Prijenosi između proračunskih korisnika istog proračuna (šifre 6391 do 6394)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204.316,00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Prihod u iznosu od 204.316,00 eura u 2025.g. ostvaren temeljem uplate Ministarstva zaštite okoliša i zelene tranzicije kao nositelja projekta LIFE u kojem je Agencija za plaćanja u poljoprivredi jedan od partnera. Budući da se radi o sredstvima LIFE-a koje je sredstva uplatilo MZOTZT, a oni preknjižili Agenciji njezin dio, Agencija je navedena sredstva knjižila na izvor 52 u 2025.g. U 2026.g. uplata temeljem projekata EU (sada izvor 510, nije bilo).</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proizvoda i robe te pruženih usluga, prihodi od donacija te povrati po protestiranim jamstvima (šifre 661+663)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8.794,12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2026.g. interni kafić kojim su se ostvarivali vlastiti prihodi, nije bio u funkciji zbog nedostatka radne snage.</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i od HZZO-a na temelju ugovornih obveza (šifre 671+673)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19.203.598,41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21.785.996,05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113,4</w:t>
            </w:r>
          </w:p>
        </w:tc>
      </w:tr>
    </w:tbl>
    <w:p>
      <w:pPr>
        <w:spacing w:before="0" w:after="0"/>
      </w:pPr>
    </w:p>
    <w:p>
      <w:r>
        <w:t xml:space="preserve">Ukupni prihodi iz nadležnog proračuna narasli su odnosu na isto razdoblje prošle godine za 12% prije svega zbog poskupljenja usluga i robe, odnosno inflacije. Najviše su porasli prihodi iz kojih su se financirali rashodi za zaposlene, te prihodi za financiranje stručnog usavršavanja zaposlenika, sistematske preglede zaposlenika, rashodi za energiju.</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za financiranje rashoda poslovanja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18.811.025,53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18.410.527,23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97,9</w:t>
            </w:r>
          </w:p>
        </w:tc>
      </w:tr>
    </w:tbl>
    <w:p>
      <w:pPr>
        <w:spacing w:before="0" w:after="0"/>
      </w:pPr>
    </w:p>
    <w:p>
      <w:r>
        <w:t xml:space="preserve">Temeljem preporuka/naloga DUR-a, nadogradnja informacijskih sustava, od 01.01.2026. knjiži se  na nematerijalnu imovinu (podskupina 412), a do 31.12.2025. knjiženo je na usluge (3238 Računalne usluge). Iz navedenog razloga prihodi iz nadležnog proračuna za financiranje rashoda poslovanja, manji su od istoimenih prihoda u istom razdoblju 2025.g.</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iz nadležnog proračuna za financiranje rashoda za nabavu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6712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392.572,88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3.375.468,82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859,8</w:t>
            </w:r>
          </w:p>
        </w:tc>
      </w:tr>
    </w:tbl>
    <w:p>
      <w:pPr>
        <w:spacing w:before="0" w:after="0"/>
      </w:pPr>
    </w:p>
    <w:p>
      <w:r>
        <w:t xml:space="preserve">Temeljem preporuka/naloga DUR-a, nadogradnja informacijskih sustava, od 01.01.2026. knjiži se  na nematerijalnu imovinu (podskupina 412), a do 31.12.2025. knjiženo je na usluge (3238 Računalne usluge). Iz navedenog razloga je iskazano znatno povećanje rashoda za nabavu nefinancijske imovine.</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22.255.200,97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18.720.394,10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84,1</w:t>
            </w:r>
          </w:p>
        </w:tc>
      </w:tr>
    </w:tbl>
    <w:p>
      <w:pPr>
        <w:spacing w:before="0" w:after="0"/>
      </w:pPr>
    </w:p>
    <w:p>
      <w:r>
        <w:t xml:space="preserve">Ukupno evidentirani rashodi poslovanja manji su cca 15% u odnosu na isto razdoblje 2025.g.  U 2025.g. u rashode su uvršteni i rashodi koji su se do tada vodili kao kontinuirani rashodi (npr. režije za 12 mjesec 2024.g.). U istom razdoblju prošle godine prikazano je 7 mjeseci (zbog kontinuiranih rashoda, a u istom razdoblju 2026.g. iskazano ih je 6, sukladno Pravilniku o proračunskom računovodstvu. Osim navedenog, od 01.01.2026.g. rashodi za nadogradnju informacijskih sustava evidentiraju se sukladno preporukama DUR-a na nematerijalnoj imovini, a do 31.12.2025. evidentirali su se kao računalne usluge.</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zaposlene (šifre 311+312+313)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16.524.073,00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15.306.842,23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92,6</w:t>
            </w:r>
          </w:p>
        </w:tc>
      </w:tr>
    </w:tbl>
    <w:p>
      <w:pPr>
        <w:spacing w:before="0" w:after="0"/>
      </w:pPr>
    </w:p>
    <w:p>
      <w:r>
        <w:t xml:space="preserve">U istom razdoblju prošle godine prikazano sedam mjeseci (plaća za 12/2024. prikazana u financijskim izvještajima za 2024.g. kao kontinuirani rashod, a od 01.01.2025.g. sukladno Pravilniku o proračunskom računovodstvu, nekadašnji kontinuirani rashodi knjiže se u razdoblju u kojem su nastali. Nominalno rashodi za zaposlene na mjesečnoj razini veći su od istoimenih rashoda u istom razdoblju 2025.g. zbog većeg broja zaposlenih, te povećanju bruto osnovice sukladno TKU.</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Plaće za prekovremeni rad</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254.107,67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106.936,34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42,1</w:t>
            </w:r>
          </w:p>
        </w:tc>
      </w:tr>
    </w:tbl>
    <w:p>
      <w:pPr>
        <w:spacing w:before="0" w:after="0"/>
      </w:pPr>
    </w:p>
    <w:p>
      <w:r>
        <w:t xml:space="preserve">Masa rashoda za prekovremeni rad kao i broj sati prekovremenog rada smanjeni zbog zapošljavanja novih ljudi i promjena u organizaciji rada.</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Materijalni rashodi (šifre 321+322+323+324+325+329)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5.731.001,02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3.413.489,16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59,6</w:t>
            </w:r>
          </w:p>
        </w:tc>
      </w:tr>
    </w:tbl>
    <w:p>
      <w:pPr>
        <w:spacing w:before="0" w:after="0"/>
      </w:pPr>
    </w:p>
    <w:p>
      <w:r>
        <w:t xml:space="preserve">Materijalni rashodi smanjeni u odnosu na 2025.g. dijelom zbog promjena u računovodstvenom evidentiranju vezanih uz Pravilnik o proračunskom računovodstvu (ukinuti kontinuirani rashodi), a dijelom zbog preporuke SDUR-a da se nadogradnja informacijskih sustava ne evidentira u okviru Računalnih usluga već kao Nematerijalna imovina.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Službena putovanja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166.522,89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89.721,63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53,9</w:t>
            </w:r>
          </w:p>
        </w:tc>
      </w:tr>
    </w:tbl>
    <w:p>
      <w:pPr>
        <w:spacing w:before="0" w:after="0"/>
      </w:pPr>
    </w:p>
    <w:p>
      <w:r>
        <w:t xml:space="preserve">Smanjeni rashodi za službena putovanja zbog racionalizacije poslovanja. Veći dio sastanak odrađuje se on line.</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Stručno usavršavanje zaposlenika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8.974,36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23.407,21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260,8</w:t>
            </w:r>
          </w:p>
        </w:tc>
      </w:tr>
    </w:tbl>
    <w:p>
      <w:pPr>
        <w:spacing w:before="0" w:after="0"/>
      </w:pPr>
    </w:p>
    <w:p>
      <w:r>
        <w:t xml:space="preserve">Povećani troškovi stručnog usavršavanja zaposlenika zbog primjene Zakona o zaštiti na radu i osposobljavanja djelatnika Agencije za pružanje prve pomoći, te polaganje  ispita za upravni postupak zaposlenika iz podružnica.</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Energija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171.742,14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201.098,86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117,1</w:t>
            </w:r>
          </w:p>
        </w:tc>
      </w:tr>
    </w:tbl>
    <w:p>
      <w:pPr>
        <w:spacing w:before="0" w:after="0"/>
      </w:pPr>
    </w:p>
    <w:p>
      <w:r>
        <w:t xml:space="preserve">Do povećanja rashoda došlo zbog povećanja cijena energenata (benzin).</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Sitni inventar i autogume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4.833,40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6.947,50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143,7</w:t>
            </w:r>
          </w:p>
        </w:tc>
      </w:tr>
    </w:tbl>
    <w:p>
      <w:pPr>
        <w:spacing w:before="0" w:after="0"/>
      </w:pPr>
    </w:p>
    <w:p>
      <w:r>
        <w:t xml:space="preserve">Nabava ljetnih guma za službene automobile.</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tekućeg i investicijskog održavanja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687.679,41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940.166,91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136,7</w:t>
            </w:r>
          </w:p>
        </w:tc>
      </w:tr>
    </w:tbl>
    <w:p>
      <w:pPr>
        <w:spacing w:before="0" w:after="0"/>
      </w:pPr>
    </w:p>
    <w:p>
      <w:r>
        <w:t xml:space="preserve">Povećani troškovi zbog povećanih cijena održavanja informacijskih sustava i informatičke opreme, te prilagođavanje poslovnog prostora koje je dodatno uzeto u zakup početkom 2026.g. potrebama Agencije. </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Komunalne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68.620,68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92.573,98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134,9</w:t>
            </w:r>
          </w:p>
        </w:tc>
      </w:tr>
    </w:tbl>
    <w:p>
      <w:pPr>
        <w:spacing w:before="0" w:after="0"/>
      </w:pPr>
    </w:p>
    <w:p>
      <w:r>
        <w:t xml:space="preserve">Povećanje cijena komunalnih usluga (inflacija).</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Zakupnine i najamnine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768.799,27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797.905,15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103,8</w:t>
            </w:r>
          </w:p>
        </w:tc>
      </w:tr>
    </w:tbl>
    <w:p>
      <w:pPr>
        <w:spacing w:before="0" w:after="0"/>
      </w:pPr>
    </w:p>
    <w:p>
      <w:r>
        <w:t xml:space="preserve">Povećanje kvadrature poslovnog prostora i povećanje cijene zakupa po metru kvadratnom.</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Zdravstvene i veterinarske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5.093,45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41.035,54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805,7</w:t>
            </w:r>
          </w:p>
        </w:tc>
      </w:tr>
    </w:tbl>
    <w:p>
      <w:pPr>
        <w:spacing w:before="0" w:after="0"/>
      </w:pPr>
    </w:p>
    <w:p>
      <w:r>
        <w:t xml:space="preserve">Sistematski pregledi zaposlenika starijih od 50 godina sukladno odredbama TKU</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Intelektualne i osobne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147.042,36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184.675,26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125,6</w:t>
            </w:r>
          </w:p>
        </w:tc>
      </w:tr>
    </w:tbl>
    <w:p>
      <w:pPr>
        <w:spacing w:before="0" w:after="0"/>
      </w:pPr>
    </w:p>
    <w:p>
      <w:r>
        <w:t xml:space="preserve">Povećane potrebe za uslugama student servisa, angažiranje vanjskih stručnjaka za izradu projektne dokumentacije te obrada satelitskih snimaka za potrebe kontrole kvalitete IAKS-a.</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Računalne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2.570.537,38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Sukladno nalogu SDURA nadogradnja informacijskih sustava od 01.01.2026. evidentira se na podskupini 412 Nematerijalna imovina</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239.313,59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357.120,38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149,2</w:t>
            </w:r>
          </w:p>
        </w:tc>
      </w:tr>
    </w:tbl>
    <w:p>
      <w:pPr>
        <w:spacing w:before="0" w:after="0"/>
      </w:pPr>
    </w:p>
    <w:p>
      <w:r>
        <w:t xml:space="preserve">Povećanje cijena usluga čišćenja poslovnih prostora te usluga čuvanja imovine i osoba.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Premije osiguranja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12.941,70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13.915,94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107,5</w:t>
            </w:r>
          </w:p>
        </w:tc>
      </w:tr>
    </w:tbl>
    <w:p>
      <w:pPr>
        <w:spacing w:before="0" w:after="0"/>
      </w:pPr>
    </w:p>
    <w:p>
      <w:r>
        <w:t xml:space="preserve">Povećane cijene obveznog osiguranja automobila</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Reprezentacija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21.150,73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483,00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w:t>
            </w:r>
          </w:p>
        </w:tc>
      </w:tr>
    </w:tbl>
    <w:p>
      <w:pPr>
        <w:spacing w:before="0" w:after="0"/>
      </w:pPr>
    </w:p>
    <w:p>
      <w:r>
        <w:t xml:space="preserve">U 2025.g. organizirano nekoliko međunarodnih okupljanja</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Pristojbe i naknade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22.769,57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26.203,29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115,1</w:t>
            </w:r>
          </w:p>
        </w:tc>
      </w:tr>
    </w:tbl>
    <w:p>
      <w:pPr>
        <w:spacing w:before="0" w:after="0"/>
      </w:pPr>
    </w:p>
    <w:p>
      <w:r>
        <w:t xml:space="preserve">Povećan iznos novčane naknade poslodavca zbog nezapošljavanja osoba s invaliditetom</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Ukupni rashodi poslovanja (šifre 3-Z003+Z004)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22.255.200,97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18.720.394,10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84,1</w:t>
            </w:r>
          </w:p>
        </w:tc>
      </w:tr>
    </w:tbl>
    <w:p>
      <w:pPr>
        <w:spacing w:before="0" w:after="0"/>
      </w:pPr>
    </w:p>
    <w:p>
      <w:r>
        <w:t xml:space="preserve">Ukupno evidentirani rashodi poslovanja manji su cca 15% u odnosu na isto razdoblje 2025.g.  U 2025.g. u rashode su uvršteni i rashodi koji su se do tada vodili kao kontinuirani rashodi (npr. režije za 12 mjesec 2024.g.). U istom razdoblju prošle godine prikazano je 7 mjeseci (zbog kontinuiranih rashoda, a u istom razdoblju 2026.g. iskazano ih je 6, sukladno Pravilniku o proračunskom računovodstvu. Osim navedenog, od 01.01.2026.g. rashodi za nadogradnju informacijskih sustava evidentiraju se sukladno preporukama DUR-a na nematerijalnoj imovini, a do 31.12.2025. evidentirali su se kao računalne usluge.</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120.144,22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4.580.793,82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3812,7</w:t>
            </w:r>
          </w:p>
        </w:tc>
      </w:tr>
    </w:tbl>
    <w:p>
      <w:pPr>
        <w:spacing w:before="0" w:after="0"/>
      </w:pPr>
    </w:p>
    <w:p>
      <w:r>
        <w:t xml:space="preserve">Od 01.01.2026.g. rashodi za nadogradnju informacijskih sustava evidentiraju se sukladno preporukama DUR-a na nematerijalnoj imovini, a do 31.12.2025. evidentirali su se kao računalne usluge.</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neproizvedene dugotrajne imovine (šifre 411+412)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4.346.334,08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 01.01.2026.g. rashodi za nadogranju informacijskih sustava evidentiraju se sukladno preporukama DUR-a na nematerijalnoj imovini, a do 31.12.2025. evidentirali su se kao računalne usluge.</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proizvedene dugotrajne imovine (šifre 421+422+423+424+425+426)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120.144,22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234.459,74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195,1</w:t>
            </w:r>
          </w:p>
        </w:tc>
      </w:tr>
    </w:tbl>
    <w:p>
      <w:pPr>
        <w:spacing w:before="0" w:after="0"/>
      </w:pPr>
    </w:p>
    <w:p>
      <w:r>
        <w:t xml:space="preserve">U siječnji 2026.g. isporučeni laptopi, monitori, projektori, barkod čitači. Postupak javne nabave iz 2025.g.</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120.144,22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4.580.793,82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3812,7</w:t>
            </w:r>
          </w:p>
        </w:tc>
      </w:tr>
    </w:tbl>
    <w:p>
      <w:pPr>
        <w:spacing w:before="0" w:after="0"/>
      </w:pPr>
    </w:p>
    <w:p>
      <w:r>
        <w:t xml:space="preserve">Rashodi financirani Prihodima iz nadležnog proračuna</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Obvezni i preventivni zdravstveni pregledi zaposlenika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4.395,00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40.151,77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913,6</w:t>
            </w:r>
          </w:p>
        </w:tc>
      </w:tr>
    </w:tbl>
    <w:p>
      <w:pPr>
        <w:spacing w:before="0" w:after="0"/>
      </w:pPr>
    </w:p>
    <w:p>
      <w:r>
        <w:t xml:space="preserve">Sistematski pregledi zaposlenika starijih od 50 g. sukladno TKU i pregled vida za zaposlenike koji duže od 4 sata rade za računalom sukladno Zakonu o zaštiti na radu.</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agencija, studentskog servisa (prijepisi, prijevodi i drugo)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67.985,27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83.253,54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122,5</w:t>
            </w:r>
          </w:p>
        </w:tc>
      </w:tr>
    </w:tbl>
    <w:p>
      <w:pPr>
        <w:spacing w:before="0" w:after="0"/>
      </w:pPr>
    </w:p>
    <w:p>
      <w:r>
        <w:t xml:space="preserve">Povećane potrebe za uslugama student servisa.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Na dan 30.06.2026.g. Agencija za plaćanja u poljoprivredi, ribarstvu i ruralnom razvoju nema dospjelih obveza.</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Međusobne obveze subjekata općeg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71.843,59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HZZO-a za bolovanja</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nabavu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ND24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560.601,25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Obveze za nadogradnju informacijskih sustava</w:t>
      </w:r>
    </w:p>
    <w:p/>
    <w:p>
      <w:pPr>
        <w:jc w:val="center"/>
        <w:pStyle w:val="Normal"/>
        <w:spacing w:line="240" w:lineRule="auto"/>
        <w:keepNext/>
      </w:pPr>
      <w:r>
        <w:rPr>
          <w:sz w:val="28"/>
          <w:rFonts w:ascii="Times New Roman" w:hAnsi="Times New Roman"/>
        </w:rPr>
        <w:t xml:space="preserve">Bilješka 37.</w:t>
      </w:r>
    </w:p>
    <w:p>
      <w:pPr>
        <w:jc w:val="both"/>
        <w:pStyle w:val="Normal"/>
        <w:spacing w:line="240" w:lineRule="auto"/>
      </w:pPr>
      <w:r>
        <w:rPr>
          <w:b/>
          <w:sz w:val="24"/>
          <w:rFonts w:ascii="Times New Roman" w:hAnsi="Times New Roman"/>
        </w:rPr>
        <w:t xml:space="preserve">EU izvještaj</w:t>
      </w:r>
    </w:p>
    <w:p>
      <w:r>
        <w:t xml:space="preserve">Agencija u razdoblju od siječnja do lipnja 2026.g. ima evidentirane prihode i rashode na izvorima 510, 565 i 564.</w:t>
      </w:r>
    </w:p>
    <w:p>
      <w:r>
        <w:t xml:space="preserve">Fondovi EU (izvori 564 i 565) realizirani su do 30.06.2026.g. u ukupnom iznosu od 4.053.519,05 eura, od čega se 3.940.979,31 eura (97%) odnosi na izvor 56511 Europski poljoprivredni fond za ruralni razvoj (EPFRR) – Tehnička pomoć – SP ZPP 2023.-2027.g. </w:t>
      </w:r>
    </w:p>
    <w:p>
      <w:r>
        <w:t xml:space="preserve">Ukupan iznos prihoda na izvoru 564 ostvaren u prvih šest mjeseci 2026.g.  iznosi 112.539,74 euro, a udio nacionalnih sredstava (izvor 12) 48.231,33 eura.</w:t>
      </w:r>
    </w:p>
    <w:p>
      <w:r>
        <w:t xml:space="preserve">U prvih 6 mjeseci 2026.g. na izvoru 51011 ostvareno je 54.566,32 eura rashoda koji su na istom izvoru evidentirani i kao prihodi na 67111. Udio nacionalnih sredstava iznosi 24.515,33 eura.</w:t>
      </w:r>
    </w:p>
    <w:p>
      <w:r>
        <w:t xml:space="preserve">Iz 2025.g. izvora 52 preneseno je također iz projekta CROLIS na izvor 51000 iznos od 74.017,70 eura. Izvore 51000 i 51011 potrebno je prebit jer su oba na 510.</w:t>
      </w:r>
    </w:p>
    <w:p>
      <w:r>
        <w:t xml:space="preserve">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85d907e8bb644f21" /></Relationships>
</file>